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98A1D1">
      <w:pPr>
        <w:spacing w:line="584" w:lineRule="exact"/>
        <w:ind w:left="0" w:leftChars="0" w:firstLine="0" w:firstLineChars="0"/>
        <w:jc w:val="center"/>
        <w:rPr>
          <w:rFonts w:hint="eastAsia" w:ascii="方正小标宋简体" w:hAnsi="方正小标宋简体" w:eastAsia="方正小标宋简体" w:cs="方正小标宋简体"/>
          <w:sz w:val="44"/>
          <w:szCs w:val="44"/>
        </w:rPr>
      </w:pPr>
      <w:bookmarkStart w:id="9" w:name="_GoBack"/>
      <w:r>
        <w:rPr>
          <w:rFonts w:hint="eastAsia" w:ascii="方正小标宋简体" w:hAnsi="方正小标宋简体" w:eastAsia="方正小标宋简体" w:cs="方正小标宋简体"/>
          <w:sz w:val="44"/>
          <w:szCs w:val="44"/>
        </w:rPr>
        <w:t>科右中旗打造市场化法治化国际化</w:t>
      </w:r>
    </w:p>
    <w:p w14:paraId="5179B57D">
      <w:pPr>
        <w:spacing w:line="584" w:lineRule="exact"/>
        <w:ind w:left="0" w:leftChars="0" w:firstLine="0" w:firstLineChars="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一流</w:t>
      </w:r>
      <w:r>
        <w:rPr>
          <w:rFonts w:hint="eastAsia" w:ascii="方正小标宋简体" w:hAnsi="方正小标宋简体" w:eastAsia="方正小标宋简体" w:cs="方正小标宋简体"/>
          <w:sz w:val="44"/>
          <w:szCs w:val="44"/>
        </w:rPr>
        <w:t>营商环境实施方案</w:t>
      </w:r>
      <w:bookmarkEnd w:id="9"/>
    </w:p>
    <w:p w14:paraId="5D58A2A4">
      <w:pPr>
        <w:spacing w:line="584" w:lineRule="exact"/>
        <w:ind w:firstLine="640" w:firstLineChars="200"/>
        <w:rPr>
          <w:rFonts w:hint="eastAsia" w:eastAsia="仿宋"/>
          <w:sz w:val="32"/>
          <w:szCs w:val="32"/>
          <w:lang w:val="en-US" w:eastAsia="zh-CN"/>
        </w:rPr>
      </w:pPr>
    </w:p>
    <w:p w14:paraId="26CC00A9">
      <w:pPr>
        <w:spacing w:line="584" w:lineRule="exact"/>
        <w:ind w:firstLine="640" w:firstLineChars="200"/>
        <w:rPr>
          <w:rFonts w:hint="eastAsia" w:eastAsia="仿宋"/>
          <w:sz w:val="32"/>
          <w:szCs w:val="32"/>
          <w:lang w:val="en-US" w:eastAsia="zh-CN"/>
        </w:rPr>
      </w:pPr>
      <w:r>
        <w:rPr>
          <w:rFonts w:hint="eastAsia" w:eastAsia="仿宋"/>
          <w:sz w:val="32"/>
          <w:szCs w:val="32"/>
          <w:lang w:val="en-US" w:eastAsia="zh-CN"/>
        </w:rPr>
        <w:t>为深入落实党中央优化营商环境的决策部署，全面贯彻自治区党委“1571”工作部署和盟委、盟行署工作要求，以铸牢中华民族共同体意识为工作主线，全面承接自治区优化营商环境各项改革任务，紧扣“十五五”规划开局要求，对标全国、全区先进水平，结合我旗实际，以市场化、法治化、国际化为核心目标，全面推进我旗营商环境提档升级，制定本实施方案。</w:t>
      </w:r>
    </w:p>
    <w:p w14:paraId="1056BECB">
      <w:pPr>
        <w:spacing w:line="584" w:lineRule="exact"/>
        <w:ind w:firstLine="640" w:firstLineChars="200"/>
        <w:rPr>
          <w:rFonts w:hint="eastAsia" w:ascii="黑体" w:hAnsi="黑体" w:eastAsia="黑体" w:cs="黑体"/>
          <w:sz w:val="32"/>
          <w:szCs w:val="32"/>
          <w:lang w:val="en-US" w:eastAsia="zh-CN"/>
        </w:rPr>
      </w:pPr>
      <w:bookmarkStart w:id="0" w:name="_Toc19724"/>
      <w:bookmarkStart w:id="1" w:name="_Toc5956"/>
      <w:bookmarkStart w:id="2" w:name="_Toc13155"/>
      <w:r>
        <w:rPr>
          <w:rFonts w:hint="eastAsia" w:ascii="黑体" w:hAnsi="黑体" w:eastAsia="黑体" w:cs="黑体"/>
          <w:sz w:val="32"/>
          <w:szCs w:val="32"/>
          <w:lang w:val="en-US" w:eastAsia="zh-CN"/>
        </w:rPr>
        <w:t>一、打造公平有序的市场化营商环境</w:t>
      </w:r>
    </w:p>
    <w:p w14:paraId="57B078C3">
      <w:pPr>
        <w:spacing w:line="584" w:lineRule="exact"/>
        <w:ind w:firstLine="640" w:firstLineChars="200"/>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（一）提升政务服务效能</w:t>
      </w:r>
    </w:p>
    <w:p w14:paraId="5B1BE0CE">
      <w:pPr>
        <w:spacing w:line="584" w:lineRule="exact"/>
        <w:ind w:firstLine="643" w:firstLineChars="200"/>
        <w:rPr>
          <w:rFonts w:hint="eastAsia" w:eastAsia="仿宋"/>
          <w:sz w:val="32"/>
          <w:szCs w:val="32"/>
          <w:lang w:val="en-US" w:eastAsia="zh-CN"/>
        </w:rPr>
      </w:pPr>
      <w:r>
        <w:rPr>
          <w:rFonts w:hint="eastAsia" w:eastAsia="仿宋"/>
          <w:b/>
          <w:bCs/>
          <w:sz w:val="32"/>
          <w:szCs w:val="32"/>
          <w:lang w:val="en-US" w:eastAsia="zh-CN"/>
        </w:rPr>
        <w:t>1．全面推进行政审批制度改革</w:t>
      </w:r>
      <w:bookmarkEnd w:id="0"/>
      <w:bookmarkEnd w:id="1"/>
      <w:bookmarkEnd w:id="2"/>
      <w:r>
        <w:rPr>
          <w:rFonts w:hint="eastAsia" w:eastAsia="仿宋"/>
          <w:b/>
          <w:bCs/>
          <w:sz w:val="32"/>
          <w:szCs w:val="32"/>
          <w:lang w:val="en-US" w:eastAsia="zh-CN"/>
        </w:rPr>
        <w:t>。</w:t>
      </w:r>
      <w:r>
        <w:rPr>
          <w:rFonts w:hint="eastAsia" w:eastAsia="仿宋"/>
          <w:sz w:val="32"/>
          <w:szCs w:val="32"/>
          <w:lang w:val="en-US" w:eastAsia="zh-CN"/>
        </w:rPr>
        <w:t>全面落实“放管服”改革要求，持续降低行政审批和行业准入门槛。深化“高效办成一件事”改革，巩固拓展现有改革成果，实现涉企高频事项全覆盖。在更大范围内优化简化审批流程，建立行政审批“一站式”服务模式，整合各部门审批服务窗口，实行审批事项“一窗受理、并联审批”、“告知承诺＋容缺办理”模式，大幅提升审批效率。</w:t>
      </w:r>
      <w:bookmarkStart w:id="3" w:name="_Toc24159"/>
      <w:bookmarkStart w:id="4" w:name="_Toc21043"/>
      <w:bookmarkStart w:id="5" w:name="_Toc10351"/>
      <w:r>
        <w:rPr>
          <w:rFonts w:hint="eastAsia" w:eastAsia="仿宋"/>
          <w:sz w:val="32"/>
          <w:szCs w:val="32"/>
          <w:lang w:val="en-US" w:eastAsia="zh-CN"/>
        </w:rPr>
        <w:t>实行重大项目联审联批工作机制，通过并联审批、限时办结，大幅压缩项目前期手续办理时间，推动项目早落地、早开工。（牵头单位：旗政数局、发改委，责任单位：旗直各相关部门）</w:t>
      </w:r>
    </w:p>
    <w:p w14:paraId="23048D90">
      <w:pPr>
        <w:spacing w:line="584" w:lineRule="exact"/>
        <w:ind w:firstLine="643" w:firstLineChars="200"/>
        <w:rPr>
          <w:rFonts w:hint="eastAsia" w:eastAsia="仿宋"/>
          <w:sz w:val="32"/>
          <w:szCs w:val="32"/>
          <w:lang w:val="en-US" w:eastAsia="zh-CN"/>
        </w:rPr>
      </w:pPr>
      <w:r>
        <w:rPr>
          <w:rFonts w:hint="eastAsia" w:eastAsia="仿宋"/>
          <w:b/>
          <w:bCs/>
          <w:sz w:val="32"/>
          <w:szCs w:val="32"/>
          <w:lang w:val="en-US" w:eastAsia="zh-CN"/>
        </w:rPr>
        <w:t>2．加强数字化政务服务</w:t>
      </w:r>
      <w:bookmarkEnd w:id="3"/>
      <w:bookmarkEnd w:id="4"/>
      <w:bookmarkEnd w:id="5"/>
      <w:r>
        <w:rPr>
          <w:rFonts w:hint="eastAsia" w:eastAsia="仿宋"/>
          <w:b/>
          <w:bCs/>
          <w:sz w:val="32"/>
          <w:szCs w:val="32"/>
          <w:lang w:val="en-US" w:eastAsia="zh-CN"/>
        </w:rPr>
        <w:t>。</w:t>
      </w:r>
      <w:r>
        <w:rPr>
          <w:rFonts w:hint="eastAsia" w:eastAsia="仿宋"/>
          <w:sz w:val="32"/>
          <w:szCs w:val="32"/>
          <w:lang w:val="en-US" w:eastAsia="zh-CN"/>
        </w:rPr>
        <w:t>引入AI数字人，精准解读政策，制作宣传视频，打造全天候智能客服，同时依托“蒙速办”APP实现“一站式”掌上查询、预约、办理、评价的全流程在线政务服务，实现“指尖式”办事。（牵头单位：旗政数局，责任单位：旗直各相关部门）</w:t>
      </w:r>
      <w:bookmarkStart w:id="6" w:name="_Toc26982"/>
      <w:bookmarkStart w:id="7" w:name="_Toc16123"/>
      <w:bookmarkStart w:id="8" w:name="_Toc29287"/>
    </w:p>
    <w:p w14:paraId="30DA3E56">
      <w:pPr>
        <w:spacing w:line="584" w:lineRule="exact"/>
        <w:ind w:firstLine="643" w:firstLineChars="200"/>
        <w:rPr>
          <w:rFonts w:hint="eastAsia" w:eastAsia="仿宋"/>
          <w:sz w:val="32"/>
          <w:szCs w:val="32"/>
          <w:lang w:val="en-US" w:eastAsia="zh-CN"/>
        </w:rPr>
      </w:pPr>
      <w:r>
        <w:rPr>
          <w:rFonts w:hint="eastAsia" w:eastAsia="仿宋"/>
          <w:b/>
          <w:bCs/>
          <w:sz w:val="32"/>
          <w:szCs w:val="32"/>
          <w:lang w:val="en-US" w:eastAsia="zh-CN"/>
        </w:rPr>
        <w:t>3．加快推动政务服务便利</w:t>
      </w:r>
      <w:bookmarkEnd w:id="6"/>
      <w:bookmarkEnd w:id="7"/>
      <w:bookmarkEnd w:id="8"/>
      <w:r>
        <w:rPr>
          <w:rFonts w:hint="eastAsia" w:eastAsia="仿宋"/>
          <w:b/>
          <w:bCs/>
          <w:sz w:val="32"/>
          <w:szCs w:val="32"/>
          <w:lang w:val="en-US" w:eastAsia="zh-CN"/>
        </w:rPr>
        <w:t>化。</w:t>
      </w:r>
      <w:r>
        <w:rPr>
          <w:rFonts w:hint="eastAsia" w:eastAsia="仿宋"/>
          <w:sz w:val="32"/>
          <w:szCs w:val="32"/>
          <w:lang w:val="en-US" w:eastAsia="zh-CN"/>
        </w:rPr>
        <w:t>推进电子营业执照、名称登记等企业准入便利化改革，推行企业开办、注销“一网通办”“延时服务”“预约服务”“帮办服务”等措施。强化人员业务技能与职业素养，规范服务行为，增强服务与责任意识，打造素质过硬、业务精良的政务服务窗口，全面提升政务服务便捷度。建立惠企政策“精准推送免申即享”机制，依托政务服务平台，实现政策“精准推送、直达快享”。（牵头单位：旗政数局，责任单位：旗直各相关部门）</w:t>
      </w:r>
    </w:p>
    <w:p w14:paraId="6A985B2D">
      <w:pPr>
        <w:spacing w:line="584" w:lineRule="exact"/>
        <w:ind w:firstLine="640" w:firstLineChars="200"/>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（二）扎实推进要素保障工作，加快项目落地进程</w:t>
      </w:r>
    </w:p>
    <w:p w14:paraId="4D576374">
      <w:pPr>
        <w:spacing w:line="584" w:lineRule="exact"/>
        <w:ind w:firstLine="643" w:firstLineChars="200"/>
        <w:rPr>
          <w:rFonts w:hint="eastAsia" w:eastAsia="仿宋"/>
          <w:sz w:val="32"/>
          <w:szCs w:val="32"/>
          <w:lang w:val="en-US" w:eastAsia="zh-CN"/>
        </w:rPr>
      </w:pPr>
      <w:r>
        <w:rPr>
          <w:rFonts w:hint="eastAsia" w:eastAsia="仿宋"/>
          <w:b/>
          <w:bCs/>
          <w:sz w:val="32"/>
          <w:szCs w:val="32"/>
          <w:lang w:val="en-US" w:eastAsia="zh-CN"/>
        </w:rPr>
        <w:t>4．优化政策保障机制。</w:t>
      </w:r>
      <w:r>
        <w:rPr>
          <w:rFonts w:hint="eastAsia" w:eastAsia="仿宋"/>
          <w:sz w:val="32"/>
          <w:szCs w:val="32"/>
          <w:lang w:val="en-US" w:eastAsia="zh-CN"/>
        </w:rPr>
        <w:t>巩固壮大实体经济根基、优化提升传统产业、培育壮大新能源、新材料、低空经济等新兴产业和未来产业，围绕产业升级、基础设施、民生改善等领域谋划重大项目，对接国家政策导向，建立项目前期储备与要素统筹机制，确保落地见效。实行重大工程项目用地联动审批。强化能源保障，推进能耗差异化管理，优先保障重大项目用能需求。（牵头单位：旗自然资源局、发改委；责任单位：旗直各相关部门）</w:t>
      </w:r>
    </w:p>
    <w:p w14:paraId="2B2FBD6A">
      <w:pPr>
        <w:spacing w:line="584" w:lineRule="exact"/>
        <w:ind w:firstLine="643" w:firstLineChars="200"/>
        <w:rPr>
          <w:rFonts w:hint="eastAsia" w:eastAsia="仿宋"/>
          <w:sz w:val="32"/>
          <w:szCs w:val="32"/>
          <w:lang w:val="en-US" w:eastAsia="zh-CN"/>
        </w:rPr>
      </w:pPr>
      <w:r>
        <w:rPr>
          <w:rFonts w:hint="eastAsia" w:eastAsia="仿宋"/>
          <w:b/>
          <w:bCs/>
          <w:sz w:val="32"/>
          <w:szCs w:val="32"/>
          <w:lang w:val="en-US" w:eastAsia="zh-CN"/>
        </w:rPr>
        <w:t>5．</w:t>
      </w:r>
      <w:r>
        <w:rPr>
          <w:rFonts w:hint="eastAsia" w:eastAsia="仿宋"/>
          <w:b/>
          <w:bCs/>
          <w:sz w:val="32"/>
          <w:szCs w:val="32"/>
        </w:rPr>
        <w:t>加大科技创新政策支持力度</w:t>
      </w:r>
      <w:r>
        <w:rPr>
          <w:rFonts w:hint="eastAsia" w:eastAsia="仿宋"/>
          <w:b/>
          <w:bCs/>
          <w:sz w:val="32"/>
          <w:szCs w:val="32"/>
          <w:lang w:eastAsia="zh-CN"/>
        </w:rPr>
        <w:t>。</w:t>
      </w:r>
      <w:r>
        <w:rPr>
          <w:rFonts w:hint="eastAsia" w:eastAsia="仿宋"/>
          <w:sz w:val="32"/>
          <w:szCs w:val="32"/>
          <w:lang w:val="en-US" w:eastAsia="zh-CN"/>
        </w:rPr>
        <w:t>聚焦绿色氢氨醇、生物制造、低空经济等新兴产业，积极争取自治区重点产业引导基金支持，推动核心技术研发与产业化落地。精准支持农牧业种业育繁推一体化、标准化养殖等关键领域创新攻关，鼓励建设自治区级重点实验室、成果转化中试基地等创新平台，培育一批具有自主知识产权的特色农牧业创新成果。（牵头单位：旗工信局；责任单位：旗财政局、</w:t>
      </w:r>
      <w:r>
        <w:rPr>
          <w:rFonts w:hint="eastAsia" w:eastAsia="仿宋"/>
          <w:sz w:val="32"/>
          <w:szCs w:val="32"/>
          <w:lang w:eastAsia="zh-CN"/>
        </w:rPr>
        <w:t>发改委、</w:t>
      </w:r>
      <w:r>
        <w:rPr>
          <w:rFonts w:hint="eastAsia" w:eastAsia="仿宋"/>
          <w:sz w:val="32"/>
          <w:szCs w:val="32"/>
          <w:lang w:val="en-US" w:eastAsia="zh-CN"/>
        </w:rPr>
        <w:t>农科局）</w:t>
      </w:r>
    </w:p>
    <w:p w14:paraId="711BF705">
      <w:pPr>
        <w:spacing w:line="584" w:lineRule="exact"/>
        <w:ind w:firstLine="643" w:firstLineChars="200"/>
        <w:rPr>
          <w:rFonts w:hint="eastAsia" w:eastAsia="仿宋"/>
          <w:sz w:val="32"/>
          <w:szCs w:val="32"/>
          <w:lang w:val="en-US" w:eastAsia="zh-CN"/>
        </w:rPr>
      </w:pPr>
      <w:r>
        <w:rPr>
          <w:rFonts w:hint="eastAsia" w:eastAsia="仿宋"/>
          <w:b/>
          <w:bCs/>
          <w:sz w:val="32"/>
          <w:szCs w:val="32"/>
          <w:lang w:val="en-US" w:eastAsia="zh-CN"/>
        </w:rPr>
        <w:t>6．</w:t>
      </w:r>
      <w:r>
        <w:rPr>
          <w:rFonts w:hint="eastAsia" w:eastAsia="仿宋"/>
          <w:b/>
          <w:bCs/>
          <w:sz w:val="32"/>
          <w:szCs w:val="32"/>
        </w:rPr>
        <w:t>保障合理用地需求</w:t>
      </w:r>
      <w:r>
        <w:rPr>
          <w:rFonts w:hint="eastAsia" w:eastAsia="仿宋"/>
          <w:b/>
          <w:bCs/>
          <w:sz w:val="32"/>
          <w:szCs w:val="32"/>
          <w:lang w:eastAsia="zh-CN"/>
        </w:rPr>
        <w:t>。</w:t>
      </w:r>
      <w:r>
        <w:rPr>
          <w:rFonts w:hint="eastAsia" w:eastAsia="仿宋"/>
          <w:sz w:val="32"/>
          <w:szCs w:val="32"/>
          <w:lang w:eastAsia="zh-CN"/>
        </w:rPr>
        <w:t>推行</w:t>
      </w:r>
      <w:r>
        <w:rPr>
          <w:rFonts w:hint="eastAsia" w:eastAsia="仿宋"/>
          <w:sz w:val="32"/>
          <w:szCs w:val="32"/>
          <w:lang w:val="en-US" w:eastAsia="zh-CN"/>
        </w:rPr>
        <w:t>工业用地弹性年期出让、先租后让、长期租赁等供应模式。在符合详细规划、不改变土地用途前提下，企业在自有工业用地上提高容积率，新建、扩建生产性用房或利用地下空间，不增收土地价款。（牵头单位：旗自然资源局、住建局；责任单位：旗直各相关部门）</w:t>
      </w:r>
    </w:p>
    <w:p w14:paraId="042F0CA2">
      <w:pPr>
        <w:spacing w:line="584" w:lineRule="exact"/>
        <w:ind w:firstLine="643" w:firstLineChars="200"/>
        <w:rPr>
          <w:rFonts w:hint="eastAsia" w:eastAsia="仿宋"/>
          <w:sz w:val="32"/>
          <w:szCs w:val="32"/>
          <w:lang w:val="en-US" w:eastAsia="zh-CN"/>
        </w:rPr>
      </w:pPr>
      <w:r>
        <w:rPr>
          <w:rFonts w:hint="eastAsia" w:eastAsia="仿宋"/>
          <w:b/>
          <w:bCs/>
          <w:sz w:val="32"/>
          <w:szCs w:val="32"/>
          <w:lang w:val="en-US" w:eastAsia="zh-CN"/>
        </w:rPr>
        <w:t>7．优化水电气暖服务保障。</w:t>
      </w:r>
      <w:r>
        <w:rPr>
          <w:rFonts w:hint="eastAsia" w:eastAsia="仿宋"/>
          <w:sz w:val="32"/>
          <w:szCs w:val="32"/>
          <w:lang w:val="en-US" w:eastAsia="zh-CN"/>
        </w:rPr>
        <w:t>围绕供水、供气、供暖领域，严格依规为新建工程项目提供市政管线规划建设前置指导服务。持续精简优化水气暖接入办理流程，待新建项目规划设计方案经工程建设审批系统审定后，自动将项目信息推送至旗供水、供气、供热企业，主动与建设单位对接衔接。组织相关单位技术人员3个工作日内联合上门踏勘，一次性核实现场条件、接入点位及管网路径，减少企业重复对接；踏勘后结合现场情况及企业需求制定实施方案，可同步提供红线内设施安装技术指导，方案直接作为施工依据并由各管线单位协同施工，同步开展建筑红线范围内外的市政管线配套施工工作，确保市政管线建设进度与工程项目整体建设节奏高效协同、精准匹配。用电方面，强化电网规划与用户需求衔接，集中治理频繁停电、低电压问题，提升电网运行稳定性。持续优化办电“三零”（零上门、零审批、零投资）服务，小微企业及普通用户以低压方式接入的供电工程由供电公司投资建设，切实降低企业接电成本。健全培训考核闭环机制，提升一线人员服务能力，推动供电服务质效。（牵头单位：旗住建局；责任单位：旗发改委、国网科右中旗供电公司）</w:t>
      </w:r>
    </w:p>
    <w:p w14:paraId="246645CB">
      <w:pPr>
        <w:spacing w:line="584" w:lineRule="exact"/>
        <w:ind w:firstLine="643" w:firstLineChars="200"/>
        <w:rPr>
          <w:rFonts w:hint="eastAsia" w:eastAsia="仿宋"/>
          <w:sz w:val="32"/>
          <w:szCs w:val="32"/>
          <w:lang w:val="en-US" w:eastAsia="zh-CN"/>
        </w:rPr>
      </w:pPr>
      <w:r>
        <w:rPr>
          <w:rFonts w:hint="eastAsia" w:eastAsia="仿宋"/>
          <w:b/>
          <w:bCs/>
          <w:sz w:val="32"/>
          <w:szCs w:val="32"/>
          <w:lang w:val="en-US" w:eastAsia="zh-CN"/>
        </w:rPr>
        <w:t>8．</w:t>
      </w:r>
      <w:r>
        <w:rPr>
          <w:rFonts w:hint="eastAsia" w:eastAsia="仿宋"/>
          <w:b/>
          <w:bCs/>
          <w:sz w:val="32"/>
          <w:szCs w:val="32"/>
        </w:rPr>
        <w:t>保障人才和用工需求</w:t>
      </w:r>
      <w:r>
        <w:rPr>
          <w:rFonts w:hint="eastAsia" w:eastAsia="仿宋"/>
          <w:b/>
          <w:bCs/>
          <w:sz w:val="32"/>
          <w:szCs w:val="32"/>
          <w:lang w:eastAsia="zh-CN"/>
        </w:rPr>
        <w:t>。</w:t>
      </w:r>
      <w:r>
        <w:rPr>
          <w:rFonts w:hint="eastAsia" w:eastAsia="仿宋"/>
          <w:sz w:val="32"/>
          <w:szCs w:val="32"/>
          <w:lang w:val="en-US" w:eastAsia="zh-CN"/>
        </w:rPr>
        <w:t>完善人才激励与服务保障措施，落实民营企业职称评审倾斜政策，让民营企业引进的高层次、紧缺人才在职称评审方面享受与公立机构专业技术人才同等待遇。对小微企业招用离校2年内未就业高校毕业生，符合条件的按相关规定给予社会保险补贴。强化用工供需对接服务。借助“京蒙协作”和“东北振兴”等政策优势，搭建企业用工对接服务平台，帮助企业解决用工难题。（牵头单位：旗人社局；责任单位：旗工信局）</w:t>
      </w:r>
    </w:p>
    <w:p w14:paraId="5957BAD5">
      <w:pPr>
        <w:spacing w:line="584" w:lineRule="exact"/>
        <w:ind w:firstLine="640" w:firstLineChars="200"/>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（三）规范公共资源领域，营造公平公正平台</w:t>
      </w:r>
    </w:p>
    <w:p w14:paraId="5542CFCC">
      <w:pPr>
        <w:spacing w:line="584" w:lineRule="exact"/>
        <w:ind w:firstLine="643" w:firstLineChars="200"/>
        <w:rPr>
          <w:rFonts w:hint="eastAsia" w:eastAsia="仿宋"/>
          <w:sz w:val="32"/>
          <w:szCs w:val="32"/>
          <w:lang w:val="en-US" w:eastAsia="zh-CN"/>
        </w:rPr>
      </w:pPr>
      <w:r>
        <w:rPr>
          <w:rFonts w:hint="eastAsia" w:eastAsia="仿宋"/>
          <w:b/>
          <w:bCs/>
          <w:sz w:val="32"/>
          <w:szCs w:val="32"/>
          <w:lang w:val="en-US" w:eastAsia="zh-CN"/>
        </w:rPr>
        <w:t>9．推进市场准入开放。</w:t>
      </w:r>
      <w:r>
        <w:rPr>
          <w:rFonts w:hint="eastAsia" w:eastAsia="仿宋"/>
          <w:sz w:val="32"/>
          <w:szCs w:val="32"/>
          <w:lang w:val="en-US" w:eastAsia="zh-CN"/>
        </w:rPr>
        <w:t>全面落实市场准入负面清单制度，坚持“非禁即入”原则，开展市场准入壁垒专项清理，保障民营企业与国有企业在市场准入方面享受同等待遇。畅通市场准入壁垒投诉渠道，完善考核评估与长效保障机制，以制度型开放为抓手，加快构建高效规范、公平竞争、充分开放的全国统一大市场。（牵头单位：旗发改委、市监局，责任单位：旗直各相关部门）</w:t>
      </w:r>
    </w:p>
    <w:p w14:paraId="4C88E228">
      <w:pPr>
        <w:spacing w:line="584" w:lineRule="exact"/>
        <w:ind w:firstLine="643" w:firstLineChars="200"/>
        <w:rPr>
          <w:rFonts w:hint="eastAsia" w:eastAsia="仿宋"/>
          <w:sz w:val="32"/>
          <w:szCs w:val="32"/>
          <w:lang w:val="en-US" w:eastAsia="zh-CN"/>
        </w:rPr>
      </w:pPr>
      <w:r>
        <w:rPr>
          <w:rFonts w:hint="eastAsia" w:eastAsia="仿宋"/>
          <w:b/>
          <w:bCs/>
          <w:sz w:val="32"/>
          <w:szCs w:val="32"/>
          <w:lang w:val="en-US" w:eastAsia="zh-CN"/>
        </w:rPr>
        <w:t>10．维护公平竞争秩序。</w:t>
      </w:r>
      <w:r>
        <w:rPr>
          <w:rFonts w:hint="eastAsia" w:eastAsia="仿宋"/>
          <w:sz w:val="32"/>
          <w:szCs w:val="32"/>
          <w:lang w:val="en-US" w:eastAsia="zh-CN"/>
        </w:rPr>
        <w:t>加强反不正当竞争执法，开展“内卷式”竞争专项整治，严厉打击恶意比价、互黑互踩等市场乱象。紧盯招商引资、政府采购等问题高发领域，加强滥用行政权力排除、限制竞争审查力度，保障各类经营主体依法平等使用生产要素、公平参与市场竞争、同等受到法律保护。对所有涉企规范性文件100%开展合法性审查和公平竞争审查，确保审查合格后出台。对不平等对待民营企业的规定应改尽改、应废尽废，推动市场竞争秩序规范，无垄断、不正当竞争行为，推动涉企政策制定更贴合企业需求。（牵头单位：旗市监局、司法局，责任单位：旗直各相关部门）</w:t>
      </w:r>
    </w:p>
    <w:p w14:paraId="1AA46264">
      <w:pPr>
        <w:spacing w:line="584" w:lineRule="exact"/>
        <w:ind w:firstLine="643" w:firstLineChars="200"/>
        <w:rPr>
          <w:rFonts w:hint="eastAsia" w:eastAsia="仿宋"/>
          <w:sz w:val="32"/>
          <w:szCs w:val="32"/>
          <w:lang w:val="en-US" w:eastAsia="zh-CN"/>
        </w:rPr>
      </w:pPr>
      <w:r>
        <w:rPr>
          <w:rFonts w:hint="eastAsia" w:eastAsia="仿宋"/>
          <w:b/>
          <w:bCs/>
          <w:sz w:val="32"/>
          <w:szCs w:val="32"/>
          <w:lang w:val="en-US" w:eastAsia="zh-CN"/>
        </w:rPr>
        <w:t>11．规范招投标领域管理。</w:t>
      </w:r>
      <w:r>
        <w:rPr>
          <w:rFonts w:hint="eastAsia" w:eastAsia="仿宋"/>
          <w:sz w:val="32"/>
          <w:szCs w:val="32"/>
          <w:lang w:val="en-US" w:eastAsia="zh-CN"/>
        </w:rPr>
        <w:t>进一步规范招标文件编制，不得设置排斥、限制民营企业和中小企业参与招投标活动的不合理条件，保障各类经济组织平等便利参与招标投标活动。建立工程建设招投标领域负面清单，对清单内违规行为加大处置力度。利用公共资源交易平台，曝光各类排斥限制民营企业和中小企业行为。实时将中标信息推送至各行政监督部门，充分应用大数据筛查等方式，提高各行政监督部门标后监督管理能力。（牵头单位：旗发改委、各行业主管部门；责任单位：旗直各相关部门）</w:t>
      </w:r>
    </w:p>
    <w:p w14:paraId="3EA01EE6">
      <w:pPr>
        <w:spacing w:line="584" w:lineRule="exact"/>
        <w:ind w:firstLine="643" w:firstLineChars="200"/>
        <w:rPr>
          <w:rFonts w:hint="eastAsia" w:eastAsia="仿宋"/>
          <w:sz w:val="32"/>
          <w:szCs w:val="32"/>
          <w:lang w:val="en-US" w:eastAsia="zh-CN"/>
        </w:rPr>
      </w:pPr>
      <w:r>
        <w:rPr>
          <w:rFonts w:hint="eastAsia" w:eastAsia="仿宋"/>
          <w:b/>
          <w:bCs/>
          <w:sz w:val="32"/>
          <w:szCs w:val="32"/>
          <w:lang w:val="en-US" w:eastAsia="zh-CN"/>
        </w:rPr>
        <w:t>12．支持各类企业参与政府集中采购。</w:t>
      </w:r>
      <w:r>
        <w:rPr>
          <w:rFonts w:hint="eastAsia" w:eastAsia="仿宋"/>
          <w:sz w:val="32"/>
          <w:szCs w:val="32"/>
          <w:lang w:val="en-US" w:eastAsia="zh-CN"/>
        </w:rPr>
        <w:t>全面落实支持民营企业和中小企业参与政府集中采购有关政策，对采购限额标准以上，200万元以下的政府集中采购货物和服务项目、400万元以下的政府集中采购工程项目，除法律法规和国家政策明确规定外，采购人全部面向中小企业采购。对于非预留份额的货物和服务采购项目给予小微企业10%-20%的价格扣除优惠，让更多民营企业得到实惠。（牵头单位：旗财政局；责任单位：旗直各相关部门）</w:t>
      </w:r>
    </w:p>
    <w:p w14:paraId="176CA4EF">
      <w:pPr>
        <w:spacing w:line="584" w:lineRule="exact"/>
        <w:ind w:firstLine="643" w:firstLineChars="200"/>
        <w:rPr>
          <w:rFonts w:hint="eastAsia" w:eastAsia="仿宋"/>
          <w:sz w:val="32"/>
          <w:szCs w:val="32"/>
          <w:lang w:val="en-US" w:eastAsia="zh-CN"/>
        </w:rPr>
      </w:pPr>
      <w:r>
        <w:rPr>
          <w:rFonts w:hint="eastAsia" w:eastAsia="仿宋"/>
          <w:b/>
          <w:bCs/>
          <w:sz w:val="32"/>
          <w:szCs w:val="32"/>
          <w:lang w:val="en-US" w:eastAsia="zh-CN"/>
        </w:rPr>
        <w:t>13．规范招商引资工作。</w:t>
      </w:r>
      <w:r>
        <w:rPr>
          <w:rFonts w:hint="eastAsia" w:eastAsia="仿宋"/>
          <w:sz w:val="32"/>
          <w:szCs w:val="32"/>
          <w:lang w:val="en-US" w:eastAsia="zh-CN"/>
        </w:rPr>
        <w:t>清理规范招商引资违规优惠政策，全面梳理现行招商政策条款，分类分步落实兑现。加强招商引资信息公开披露，通过政务服务平台、招商官网等渠道，定期发布产业导向、项目信息、优惠政策等内容。（牵头单位：旗工信局；责任单位：旗直各相关部门）</w:t>
      </w:r>
    </w:p>
    <w:p w14:paraId="54D13BC5">
      <w:pPr>
        <w:spacing w:line="584" w:lineRule="exact"/>
        <w:ind w:firstLine="640" w:firstLineChars="200"/>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（四）开展多元融资助企，提升金融服务质效</w:t>
      </w:r>
    </w:p>
    <w:p w14:paraId="6B848BE0">
      <w:pPr>
        <w:spacing w:line="584" w:lineRule="exact"/>
        <w:ind w:firstLine="643" w:firstLineChars="200"/>
        <w:rPr>
          <w:rFonts w:hint="eastAsia" w:eastAsia="仿宋"/>
          <w:sz w:val="32"/>
          <w:szCs w:val="32"/>
          <w:lang w:val="en-US" w:eastAsia="zh-CN"/>
        </w:rPr>
      </w:pPr>
      <w:r>
        <w:rPr>
          <w:rFonts w:hint="eastAsia" w:eastAsia="仿宋"/>
          <w:b/>
          <w:bCs/>
          <w:sz w:val="32"/>
          <w:szCs w:val="32"/>
          <w:lang w:val="en-US" w:eastAsia="zh-CN"/>
        </w:rPr>
        <w:t>14．切实加大金融支持力度。</w:t>
      </w:r>
      <w:r>
        <w:rPr>
          <w:rFonts w:hint="eastAsia" w:eastAsia="仿宋"/>
          <w:sz w:val="32"/>
          <w:szCs w:val="32"/>
          <w:lang w:val="en-US" w:eastAsia="zh-CN"/>
        </w:rPr>
        <w:t>引导银行机构完善内部信贷管理制度，建立科学合理的风险评估体系，按照有关规定对民营企业和国有企业实行同等信贷标准。建立健全尽职免责机制，推进中小微企业无还本续贷政策实施，帮助企业解决融资难题。（牵头单位：科右中旗金融监管支局、旗财政局；责任单位：各银行业金融机构）</w:t>
      </w:r>
    </w:p>
    <w:p w14:paraId="1BAC7DE6">
      <w:pPr>
        <w:spacing w:line="584" w:lineRule="exact"/>
        <w:ind w:firstLine="643" w:firstLineChars="200"/>
        <w:rPr>
          <w:rFonts w:hint="eastAsia" w:eastAsia="仿宋"/>
          <w:sz w:val="32"/>
          <w:szCs w:val="32"/>
          <w:lang w:val="en-US" w:eastAsia="zh-CN"/>
        </w:rPr>
      </w:pPr>
      <w:r>
        <w:rPr>
          <w:rFonts w:hint="eastAsia" w:eastAsia="仿宋"/>
          <w:b/>
          <w:bCs/>
          <w:sz w:val="32"/>
          <w:szCs w:val="32"/>
          <w:lang w:val="en-US" w:eastAsia="zh-CN"/>
        </w:rPr>
        <w:t>15．</w:t>
      </w:r>
      <w:r>
        <w:rPr>
          <w:rFonts w:hint="eastAsia" w:eastAsia="仿宋"/>
          <w:b/>
          <w:bCs/>
          <w:sz w:val="32"/>
          <w:szCs w:val="32"/>
        </w:rPr>
        <w:t>推动银行机构优化信贷</w:t>
      </w:r>
      <w:r>
        <w:rPr>
          <w:rFonts w:hint="eastAsia" w:eastAsia="仿宋"/>
          <w:b/>
          <w:bCs/>
          <w:sz w:val="32"/>
          <w:szCs w:val="32"/>
          <w:lang w:val="en-US" w:eastAsia="zh-CN"/>
        </w:rPr>
        <w:t>产品</w:t>
      </w:r>
      <w:r>
        <w:rPr>
          <w:rFonts w:hint="eastAsia" w:eastAsia="仿宋"/>
          <w:b/>
          <w:bCs/>
          <w:sz w:val="32"/>
          <w:szCs w:val="32"/>
          <w:lang w:eastAsia="zh-CN"/>
        </w:rPr>
        <w:t>。</w:t>
      </w:r>
      <w:r>
        <w:rPr>
          <w:rFonts w:hint="eastAsia" w:eastAsia="仿宋"/>
          <w:sz w:val="32"/>
          <w:szCs w:val="32"/>
          <w:lang w:val="en-US" w:eastAsia="zh-CN"/>
        </w:rPr>
        <w:t>定期组织开展银企对接活动，向银行机构推荐优质企业和优质项目，助力企业争取更多信贷支持。鼓励银行业金融机构和地方金融组织依法依规为企业提供应收账款、仓单、股权、知识产权等权利质押贷款以及其他符合贷款业务需要的抵押质押贷款，用好各项货币政策工具，灵活引入各类金融机构的金融产品和服务。（牵头单位：旗财政局，人民银行科右中旗营业管理部；责任单位：科右中旗金融监管支局，各银行业金融机构）</w:t>
      </w:r>
    </w:p>
    <w:p w14:paraId="36E6E4AE">
      <w:pPr>
        <w:spacing w:line="584" w:lineRule="exact"/>
        <w:ind w:firstLine="643" w:firstLineChars="200"/>
        <w:rPr>
          <w:rFonts w:hint="eastAsia" w:eastAsia="仿宋"/>
          <w:sz w:val="32"/>
          <w:szCs w:val="32"/>
          <w:lang w:val="en-US" w:eastAsia="zh-CN"/>
        </w:rPr>
      </w:pPr>
      <w:r>
        <w:rPr>
          <w:rFonts w:hint="eastAsia" w:eastAsia="仿宋"/>
          <w:b/>
          <w:bCs/>
          <w:sz w:val="32"/>
          <w:szCs w:val="32"/>
          <w:lang w:val="en-US" w:eastAsia="zh-CN"/>
        </w:rPr>
        <w:t>16．提高小微企业金融服务水平。</w:t>
      </w:r>
      <w:r>
        <w:rPr>
          <w:rFonts w:hint="eastAsia" w:eastAsia="仿宋"/>
          <w:sz w:val="32"/>
          <w:szCs w:val="32"/>
          <w:lang w:val="en-US" w:eastAsia="zh-CN"/>
        </w:rPr>
        <w:t>通过公开招投标方式确定代理记账机构，为小微企业免费提供代理记账服务，帮助企业规范财务管理，提高会计信息质量，降低财务运营成本，为企业融资提供有力的财务支持。督导金融机构健全完善金融服务小微企业“敢贷、愿贷、能贷、会贷”长效机制，积极拓展首贷户培育、信用贷投放、展期续贷办理等业务，不断扩大民营、中小微企业融资覆盖面。（牵头单位：旗财政局，人民银行科右中旗营业管理部；责任单位：各银行业金融机构）</w:t>
      </w:r>
    </w:p>
    <w:p w14:paraId="7FCA6278">
      <w:pPr>
        <w:spacing w:line="584" w:lineRule="exact"/>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二、法治护航，打造公平法治化环境</w:t>
      </w:r>
    </w:p>
    <w:p w14:paraId="5C1C10CA">
      <w:pPr>
        <w:spacing w:line="584" w:lineRule="exact"/>
        <w:ind w:firstLine="640" w:firstLineChars="200"/>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（五）营造守信践诺的诚信环境</w:t>
      </w:r>
    </w:p>
    <w:p w14:paraId="0D3DFA47">
      <w:pPr>
        <w:spacing w:line="584" w:lineRule="exact"/>
        <w:ind w:firstLine="643" w:firstLineChars="200"/>
        <w:rPr>
          <w:rFonts w:hint="eastAsia" w:eastAsia="仿宋"/>
          <w:sz w:val="32"/>
          <w:szCs w:val="32"/>
          <w:lang w:val="en-US" w:eastAsia="zh-CN"/>
        </w:rPr>
      </w:pPr>
      <w:r>
        <w:rPr>
          <w:rFonts w:hint="eastAsia" w:eastAsia="仿宋"/>
          <w:b/>
          <w:bCs/>
          <w:sz w:val="32"/>
          <w:szCs w:val="32"/>
          <w:lang w:val="en-US" w:eastAsia="zh-CN"/>
        </w:rPr>
        <w:t>17．强化政务诚信建设。</w:t>
      </w:r>
      <w:r>
        <w:rPr>
          <w:rFonts w:hint="eastAsia" w:eastAsia="仿宋"/>
          <w:sz w:val="32"/>
          <w:szCs w:val="32"/>
          <w:lang w:val="en-US" w:eastAsia="zh-CN"/>
        </w:rPr>
        <w:t>开展清理地方政府拖欠企业账款专项行动，严格落实“谁拖欠、谁偿还”原则，通过统筹自有资金、可用上级转移支付、盘活存量资产资源等方式筹集清偿资金，建立“一拖欠一档案”，制定“一账一策”清偿方案，做到“应偿尽偿”。通过提级执行、交叉执行加大清欠力度，杜绝新增拖欠。清理规范招商引资违规优惠政策，加强信息公开，确保政策落地兑现。（牵头单位：旗工信局、财政局，责任单位：旗人民法院）</w:t>
      </w:r>
    </w:p>
    <w:p w14:paraId="0258DFA9">
      <w:pPr>
        <w:spacing w:line="584" w:lineRule="exact"/>
        <w:ind w:firstLine="643" w:firstLineChars="200"/>
        <w:rPr>
          <w:rFonts w:hint="eastAsia" w:eastAsia="仿宋"/>
          <w:sz w:val="32"/>
          <w:szCs w:val="32"/>
          <w:lang w:val="en-US" w:eastAsia="zh-CN"/>
        </w:rPr>
      </w:pPr>
      <w:r>
        <w:rPr>
          <w:rFonts w:hint="eastAsia" w:eastAsia="仿宋"/>
          <w:b/>
          <w:bCs/>
          <w:sz w:val="32"/>
          <w:szCs w:val="32"/>
          <w:lang w:val="en-US" w:eastAsia="zh-CN"/>
        </w:rPr>
        <w:t>18．加快构建以信用为基础的新型监管机制。</w:t>
      </w:r>
      <w:r>
        <w:rPr>
          <w:rFonts w:hint="eastAsia" w:eastAsia="仿宋"/>
          <w:sz w:val="32"/>
          <w:szCs w:val="32"/>
          <w:lang w:val="en-US" w:eastAsia="zh-CN"/>
        </w:rPr>
        <w:t>探索建立信用监管标准体系。在行政审批、项目申报、政府采购、招标投标等事项中，严格落实信用信息“逢报必查、逢办必查”，查询结果及时反馈至兴安盟社会信用信息共享平台。按照“谁认定、谁修复”原则，依托“信用中国”网站等平台的“一网通办”体系，构建协同高效的信用修复机制。（牵头单位：旗发改委，责任单位：旗直各相关部门）</w:t>
      </w:r>
    </w:p>
    <w:p w14:paraId="5ACE36BF">
      <w:pPr>
        <w:spacing w:line="584" w:lineRule="exact"/>
        <w:ind w:firstLine="643" w:firstLineChars="200"/>
        <w:rPr>
          <w:rFonts w:hint="eastAsia" w:eastAsia="仿宋"/>
          <w:sz w:val="32"/>
          <w:szCs w:val="32"/>
          <w:lang w:val="en-US" w:eastAsia="zh-CN"/>
        </w:rPr>
      </w:pPr>
      <w:r>
        <w:rPr>
          <w:rFonts w:hint="eastAsia" w:eastAsia="仿宋"/>
          <w:b/>
          <w:bCs/>
          <w:sz w:val="32"/>
          <w:szCs w:val="32"/>
          <w:lang w:val="en-US" w:eastAsia="zh-CN"/>
        </w:rPr>
        <w:t>19．助力提升企业信用水平。</w:t>
      </w:r>
      <w:r>
        <w:rPr>
          <w:rFonts w:hint="eastAsia" w:eastAsia="仿宋"/>
          <w:sz w:val="32"/>
          <w:szCs w:val="32"/>
          <w:lang w:val="en-US" w:eastAsia="zh-CN"/>
        </w:rPr>
        <w:t>依法依规引导经营主体及时、准确完成信用修复，拓展推行“四书同达”模式，压降失信企业存量，优化企业信用修复服务，强化线上信用修复流程指导。（牵头单位：旗发改委、市监局，责任单位：旗人社局、统计局、住建局、气象局、旗直各相关部门）</w:t>
      </w:r>
    </w:p>
    <w:p w14:paraId="647F3DEB">
      <w:pPr>
        <w:spacing w:line="584" w:lineRule="exact"/>
        <w:ind w:firstLine="640" w:firstLineChars="200"/>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（六）规范执法监管，夯实法治保障</w:t>
      </w:r>
    </w:p>
    <w:p w14:paraId="390A86FE">
      <w:pPr>
        <w:spacing w:line="584" w:lineRule="exact"/>
        <w:ind w:firstLine="643" w:firstLineChars="200"/>
        <w:rPr>
          <w:rFonts w:hint="eastAsia" w:eastAsia="仿宋"/>
          <w:sz w:val="32"/>
          <w:szCs w:val="32"/>
          <w:lang w:val="en-US" w:eastAsia="zh-CN"/>
        </w:rPr>
      </w:pPr>
      <w:r>
        <w:rPr>
          <w:rFonts w:hint="eastAsia" w:eastAsia="仿宋"/>
          <w:b/>
          <w:bCs/>
          <w:sz w:val="32"/>
          <w:szCs w:val="32"/>
          <w:lang w:val="en-US" w:eastAsia="zh-CN"/>
        </w:rPr>
        <w:t>20．优化提升行政执法监管数字化水平。</w:t>
      </w:r>
      <w:r>
        <w:rPr>
          <w:rFonts w:hint="eastAsia" w:eastAsia="仿宋"/>
          <w:sz w:val="32"/>
          <w:szCs w:val="32"/>
          <w:lang w:val="en-US" w:eastAsia="zh-CN"/>
        </w:rPr>
        <w:t>全面推行“双随机、一公开”监管、跨部门综合监管、包容审慎监管及非现场监管，强化“无感监测”，深化以部门协同远程监管、移动监管、预警防控等为特征的非现场监管应用，提升行政执法监督数字化水平，对“执法扰企”等问题进行监测预警、监督纠正。实行信用分级分类监管，根据企业信用状况实施差异化监管措施。针对新产业、新业态、新模式，制定包容审慎监管清单，明确监管边界和容错底线。（牵头单位：旗司法局、市监局，责任单位：旗直各相关部门）</w:t>
      </w:r>
    </w:p>
    <w:p w14:paraId="13C42D45">
      <w:pPr>
        <w:spacing w:line="584" w:lineRule="exact"/>
        <w:ind w:firstLine="643" w:firstLineChars="200"/>
        <w:rPr>
          <w:rFonts w:hint="eastAsia" w:eastAsia="仿宋"/>
          <w:sz w:val="32"/>
          <w:szCs w:val="32"/>
          <w:lang w:val="en-US" w:eastAsia="zh-CN"/>
        </w:rPr>
      </w:pPr>
      <w:r>
        <w:rPr>
          <w:rFonts w:hint="eastAsia" w:eastAsia="仿宋"/>
          <w:b/>
          <w:bCs/>
          <w:sz w:val="32"/>
          <w:szCs w:val="32"/>
          <w:lang w:val="en-US" w:eastAsia="zh-CN"/>
        </w:rPr>
        <w:t>21．持续规范涉企执法行为。</w:t>
      </w:r>
      <w:r>
        <w:rPr>
          <w:rFonts w:hint="eastAsia" w:eastAsia="仿宋"/>
          <w:sz w:val="32"/>
          <w:szCs w:val="32"/>
          <w:lang w:val="en-US" w:eastAsia="zh-CN"/>
        </w:rPr>
        <w:t>持续推动涉企行政执法主体动态化管理和执法事项清单化管理，强化执法人员岗前培训，全面实现“扫码入企”执法，整合现有执法系统和平台，做到“无码不检查、检查必亮码”。拓展轻微违法行为依法不予行政处罚事项，优化不予处罚程序，细化减轻处罚情形，推行柔性执法。（牵头单位：旗司法局、市监局，责任单位：旗直各相关部门）</w:t>
      </w:r>
    </w:p>
    <w:p w14:paraId="23D61291">
      <w:pPr>
        <w:spacing w:line="584" w:lineRule="exact"/>
        <w:ind w:firstLine="643" w:firstLineChars="200"/>
        <w:rPr>
          <w:rFonts w:hint="eastAsia" w:eastAsia="仿宋"/>
          <w:sz w:val="32"/>
          <w:szCs w:val="32"/>
          <w:lang w:val="en-US" w:eastAsia="zh-CN"/>
        </w:rPr>
      </w:pPr>
      <w:r>
        <w:rPr>
          <w:rFonts w:hint="eastAsia" w:eastAsia="仿宋"/>
          <w:b/>
          <w:bCs/>
          <w:sz w:val="32"/>
          <w:szCs w:val="32"/>
          <w:lang w:val="en-US" w:eastAsia="zh-CN"/>
        </w:rPr>
        <w:t>22．优化畅通维权渠道。</w:t>
      </w:r>
      <w:r>
        <w:rPr>
          <w:rFonts w:hint="eastAsia" w:eastAsia="仿宋"/>
          <w:sz w:val="32"/>
          <w:szCs w:val="32"/>
          <w:lang w:val="en-US" w:eastAsia="zh-CN"/>
        </w:rPr>
        <w:t>经营主体遇到非执法人员执法、清单外执法、未亮证执法等违规行为，可通过司法行政部门公布的投诉举报电话、“12345”政务服务便民热线、“蒙企通”平台等渠道投诉举报备案，并拒绝接受检查。健全执法监督问责机制，对行政执法实行全方位全过程监督，严肃查处违规执法行为，集中整治乱收费、乱罚款、乱检查、乱查封行为，确保执法活动严格、公正、规范、文明。（牵头单位：旗司法局、政数局、发改委、市监局，责任单位：旗直各相关部门）</w:t>
      </w:r>
    </w:p>
    <w:p w14:paraId="53B7DEF2">
      <w:pPr>
        <w:spacing w:line="584" w:lineRule="exact"/>
        <w:ind w:firstLine="643" w:firstLineChars="200"/>
        <w:rPr>
          <w:rFonts w:hint="eastAsia" w:eastAsia="仿宋"/>
          <w:sz w:val="32"/>
          <w:szCs w:val="32"/>
          <w:lang w:val="en-US" w:eastAsia="zh-CN"/>
        </w:rPr>
      </w:pPr>
      <w:r>
        <w:rPr>
          <w:rFonts w:hint="eastAsia" w:eastAsia="仿宋"/>
          <w:b/>
          <w:bCs/>
          <w:sz w:val="32"/>
          <w:szCs w:val="32"/>
          <w:lang w:val="en-US" w:eastAsia="zh-CN"/>
        </w:rPr>
        <w:t>23．提升司法服务水平。</w:t>
      </w:r>
      <w:r>
        <w:rPr>
          <w:rFonts w:hint="eastAsia" w:eastAsia="仿宋"/>
          <w:sz w:val="32"/>
          <w:szCs w:val="32"/>
          <w:lang w:val="en-US" w:eastAsia="zh-CN"/>
        </w:rPr>
        <w:t>整合律师、公证、仲裁等法律服务资源，组建中小企业法律服务团，免费为有需求的企业提供法律咨询、合同审查、合规指导等服务，确保企业法律问题随时可咨询、合同事项免费可审查。发挥府院联动破产工作机制作用，继续加大破产援助资金支持力度，为推进破产企业快速退出市场提供资金保障，实现破产案件税收、社保、资产处置等事项“一站式”协调解决。（牵头单位：旗司法局、财政局、人民法院，责任单位：旗直各相关部门）</w:t>
      </w:r>
    </w:p>
    <w:p w14:paraId="1A84E6A1">
      <w:pPr>
        <w:spacing w:line="584" w:lineRule="exact"/>
        <w:ind w:firstLine="643" w:firstLineChars="200"/>
        <w:rPr>
          <w:rFonts w:hint="eastAsia" w:eastAsia="仿宋"/>
          <w:sz w:val="32"/>
          <w:szCs w:val="32"/>
          <w:lang w:val="en-US" w:eastAsia="zh-CN"/>
        </w:rPr>
      </w:pPr>
      <w:r>
        <w:rPr>
          <w:rFonts w:hint="eastAsia" w:eastAsia="仿宋"/>
          <w:b/>
          <w:bCs/>
          <w:sz w:val="32"/>
          <w:szCs w:val="32"/>
          <w:lang w:val="en-US" w:eastAsia="zh-CN"/>
        </w:rPr>
        <w:t>24．提升纠纷化解与执行效能。</w:t>
      </w:r>
      <w:r>
        <w:rPr>
          <w:rFonts w:hint="eastAsia" w:eastAsia="仿宋"/>
          <w:sz w:val="32"/>
          <w:szCs w:val="32"/>
          <w:lang w:val="en-US" w:eastAsia="zh-CN"/>
        </w:rPr>
        <w:t>持续畅通涉企立案绿色通道，强化案件繁简分流，做到简案快办、繁案精办。建立法院、公安、检察、属地多方联动机制，开展联合打击拒不执行判决行动，解决涉企案件执行难问题。对涉府案件、商业纠纷、长期未结、大标的额涉企等执行难度较大案件，申请运用跨旗县交叉执行，中院提级执行等方式，推动案件执结。（牵头单位：旗人民法院、司法局，责任单位：旗公安局、检察院）</w:t>
      </w:r>
    </w:p>
    <w:p w14:paraId="70074DE3">
      <w:pPr>
        <w:spacing w:line="584" w:lineRule="exact"/>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三、打造国际化营商环境，拓展对外开放空间</w:t>
      </w:r>
    </w:p>
    <w:p w14:paraId="546D95EE">
      <w:pPr>
        <w:spacing w:line="584" w:lineRule="exact"/>
        <w:ind w:firstLine="640" w:firstLineChars="200"/>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（七）提供高效便利的口岸环境</w:t>
      </w:r>
    </w:p>
    <w:p w14:paraId="5725379F">
      <w:pPr>
        <w:spacing w:line="584" w:lineRule="exact"/>
        <w:ind w:firstLine="643" w:firstLineChars="200"/>
        <w:rPr>
          <w:rFonts w:hint="eastAsia" w:eastAsia="仿宋"/>
          <w:sz w:val="32"/>
          <w:szCs w:val="32"/>
          <w:lang w:val="en-US" w:eastAsia="zh-CN"/>
        </w:rPr>
      </w:pPr>
      <w:r>
        <w:rPr>
          <w:rFonts w:hint="eastAsia" w:eastAsia="仿宋"/>
          <w:b/>
          <w:bCs/>
          <w:sz w:val="32"/>
          <w:szCs w:val="32"/>
          <w:lang w:val="en-US" w:eastAsia="zh-CN"/>
        </w:rPr>
        <w:t>25．做好口岸通关服务。</w:t>
      </w:r>
      <w:r>
        <w:rPr>
          <w:rFonts w:hint="eastAsia" w:eastAsia="仿宋"/>
          <w:sz w:val="32"/>
          <w:szCs w:val="32"/>
          <w:lang w:val="en-US" w:eastAsia="zh-CN"/>
        </w:rPr>
        <w:t>全面引导企业应用中国（内蒙古）国际贸易“单一窗口”，推动应用率达到100%。（牵头单位：旗工信局，责任单位：旗直各相关部门）</w:t>
      </w:r>
    </w:p>
    <w:p w14:paraId="5F717749">
      <w:pPr>
        <w:spacing w:line="584" w:lineRule="exact"/>
        <w:ind w:firstLine="640" w:firstLineChars="200"/>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（八）打造开放友好的经贸环境</w:t>
      </w:r>
    </w:p>
    <w:p w14:paraId="0E6D5072">
      <w:pPr>
        <w:spacing w:line="584" w:lineRule="exact"/>
        <w:ind w:firstLine="643" w:firstLineChars="200"/>
        <w:rPr>
          <w:rFonts w:hint="eastAsia" w:eastAsia="仿宋"/>
          <w:sz w:val="32"/>
          <w:szCs w:val="32"/>
          <w:lang w:val="en-US" w:eastAsia="zh-CN"/>
        </w:rPr>
      </w:pPr>
      <w:r>
        <w:rPr>
          <w:rFonts w:hint="eastAsia" w:eastAsia="仿宋"/>
          <w:b/>
          <w:bCs/>
          <w:sz w:val="32"/>
          <w:szCs w:val="32"/>
          <w:lang w:val="en-US" w:eastAsia="zh-CN"/>
        </w:rPr>
        <w:t>26．做大边境贸易规模。</w:t>
      </w:r>
      <w:r>
        <w:rPr>
          <w:rFonts w:hint="eastAsia" w:eastAsia="仿宋"/>
          <w:sz w:val="32"/>
          <w:szCs w:val="32"/>
          <w:lang w:val="en-US" w:eastAsia="zh-CN"/>
        </w:rPr>
        <w:t>立足兴安盟边境地区和科右中旗产业特色，培育以羊绒为重点的边贸产业，加大二手车、二手农机、农畜产品等出口支持。</w:t>
      </w:r>
      <w:r>
        <w:rPr>
          <w:rFonts w:hint="eastAsia" w:eastAsia="仿宋"/>
          <w:sz w:val="32"/>
          <w:szCs w:val="32"/>
          <w:lang w:eastAsia="zh-CN"/>
        </w:rPr>
        <w:t>落实</w:t>
      </w:r>
      <w:r>
        <w:rPr>
          <w:rFonts w:hint="eastAsia" w:eastAsia="仿宋"/>
          <w:sz w:val="32"/>
          <w:szCs w:val="32"/>
          <w:lang w:val="en-US" w:eastAsia="zh-CN"/>
        </w:rPr>
        <w:t>外贸工作局际联席会议制度，提升边境贸易便利度，落实跨境结算、出口退税便利化举措，发挥出口信保作用，推动小微外贸企业线上投保便利化，通过精准服务增强外贸企业获得感。（牵头单位：旗工信局，责任单位：税务局）</w:t>
      </w:r>
    </w:p>
    <w:p w14:paraId="2952B3A4">
      <w:pPr>
        <w:spacing w:line="584" w:lineRule="exact"/>
        <w:ind w:firstLine="643" w:firstLineChars="200"/>
        <w:rPr>
          <w:rFonts w:hint="eastAsia" w:eastAsia="仿宋"/>
          <w:sz w:val="32"/>
          <w:szCs w:val="32"/>
          <w:lang w:val="en-US" w:eastAsia="zh-CN"/>
        </w:rPr>
      </w:pPr>
      <w:r>
        <w:rPr>
          <w:rFonts w:hint="eastAsia" w:eastAsia="仿宋"/>
          <w:b/>
          <w:bCs/>
          <w:sz w:val="32"/>
          <w:szCs w:val="32"/>
          <w:lang w:val="en-US" w:eastAsia="zh-CN"/>
        </w:rPr>
        <w:t>27．提升外资服务水平。</w:t>
      </w:r>
      <w:r>
        <w:rPr>
          <w:rFonts w:hint="eastAsia" w:eastAsia="仿宋"/>
          <w:sz w:val="32"/>
          <w:szCs w:val="32"/>
          <w:lang w:val="en-US" w:eastAsia="zh-CN"/>
        </w:rPr>
        <w:t>全面落实外商投资企业国民待遇，落实财税支持政策，提高投资运营便利化水平。</w:t>
      </w:r>
      <w:r>
        <w:rPr>
          <w:rFonts w:hint="eastAsia" w:eastAsia="仿宋"/>
          <w:sz w:val="32"/>
          <w:szCs w:val="32"/>
          <w:lang w:eastAsia="zh-CN"/>
        </w:rPr>
        <w:t>执行</w:t>
      </w:r>
      <w:r>
        <w:rPr>
          <w:rFonts w:hint="eastAsia" w:eastAsia="仿宋"/>
          <w:sz w:val="32"/>
          <w:szCs w:val="32"/>
          <w:lang w:val="en-US" w:eastAsia="zh-CN"/>
        </w:rPr>
        <w:t>外资企业“服务专员”机制，开展“服务保障进外企”活动，针对需求提供“一对一”全流程帮办服务。主动对接优质外资项目，引导其投向绿色农畜产品加工、新能源、文旅康养等重点领域。为外籍高端人才提供工作许可、居留等便利服务，增强外籍人才归属感。（牵头单位：旗工信局；责任单位：旗农科局、财政局、公安局、发改委、税务局、人民银行科右中旗营业管理部）</w:t>
      </w:r>
    </w:p>
    <w:p w14:paraId="56DFC575">
      <w:pPr>
        <w:spacing w:line="584" w:lineRule="exact"/>
        <w:ind w:firstLine="640" w:firstLineChars="200"/>
        <w:rPr>
          <w:rFonts w:hint="eastAsia" w:eastAsia="仿宋"/>
          <w:sz w:val="32"/>
          <w:szCs w:val="32"/>
          <w:lang w:val="en-US" w:eastAsia="zh-CN"/>
        </w:rPr>
      </w:pPr>
      <w:r>
        <w:rPr>
          <w:rFonts w:hint="eastAsia" w:eastAsia="仿宋"/>
          <w:sz w:val="32"/>
          <w:szCs w:val="32"/>
          <w:lang w:val="en-US" w:eastAsia="zh-CN"/>
        </w:rPr>
        <w:t>各地各有关部门要深入开展“营商环境质量提升年”行动，细化落实举措。旗发展改革委牵头统筹全旗优化营商环境工作，强化常态化调度、会商协调与督导落实，确保各项任务落地见效。鼓励各地各有关部门结合实际“揭榜挂帅”、自主创新，以企业需求为导向找准“小切口”深化改革，大力宣传典型案例和先进做法，切实提高全社会对营商环境改革的认知度，积极营造重商、亲商良好氛围，推动全旗营商环境持续优化提升。</w:t>
      </w:r>
    </w:p>
    <w:p w14:paraId="480A5D35">
      <w:pPr>
        <w:spacing w:line="584" w:lineRule="exact"/>
        <w:ind w:firstLine="640" w:firstLineChars="200"/>
        <w:rPr>
          <w:rFonts w:hint="eastAsia" w:eastAsia="仿宋"/>
          <w:sz w:val="32"/>
          <w:szCs w:val="32"/>
          <w:lang w:val="en-US" w:eastAsia="zh-CN"/>
        </w:rPr>
      </w:pPr>
    </w:p>
    <w:p w14:paraId="6AB2E086"/>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3000509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38C0D3">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47EB5F0">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747EB5F0">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FF1855"/>
    <w:rsid w:val="3AFF18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2026-07-29T02:06:00Z</dcterms:created>
  <dc:creator>ᠰᠢᠶᠣᠣ ᠯᠥᠩ</dc:creator>
  <cp:lastModifiedBy>ᠰᠢᠶᠣᠣ ᠯᠥᠩ</cp:lastModifiedBy>
  <dcterms:modified xsi:type="dcterms:W3CDTF">2026-07-29T02:08:54Z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9547B6BEBC584EC6A57C1D5AD54AD0C4_11</vt:lpwstr>
  </property>
  <property fmtid="{D5CDD505-2E9C-101B-9397-08002B2CF9AE}" pid="4" name="KSOTemplateDocerSaveRecord">
    <vt:lpwstr>eyJoZGlkIjoiMzVmZGJlMDk5ZmNjYzgzZTQ1ZDJjNTE1ZDZhOTg0Y2YiLCJ1c2VySWQiOiIyMzgzNzk1NTMifQ==</vt:lpwstr>
  </property>
</Properties>
</file>